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C5748" w14:textId="77777777" w:rsidR="00751FCD" w:rsidRDefault="00145B54">
      <w:pPr>
        <w:spacing w:after="0" w:line="259" w:lineRule="auto"/>
        <w:ind w:left="0" w:right="110" w:firstLine="0"/>
        <w:jc w:val="right"/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013EC146" wp14:editId="5F8941EA">
                <wp:extent cx="6018530" cy="1004571"/>
                <wp:effectExtent l="0" t="0" r="0" b="0"/>
                <wp:docPr id="1371" name="Group 1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530" cy="1004571"/>
                          <a:chOff x="0" y="0"/>
                          <a:chExt cx="6018530" cy="1004571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35"/>
                            <a:ext cx="6018530" cy="1003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570480" y="7620"/>
                            <a:ext cx="922020" cy="9220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02530" y="0"/>
                            <a:ext cx="903605" cy="891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1" style="width:473.9pt;height:79.1001pt;mso-position-horizontal-relative:char;mso-position-vertical-relative:line" coordsize="60185,10045">
                <v:shape id="Picture 9" style="position:absolute;width:60185;height:10039;left:0;top:6;" filled="f">
                  <v:imagedata r:id="rId8"/>
                </v:shape>
                <v:shape id="Picture 13" style="position:absolute;width:9220;height:9220;left:25704;top:76;" filled="f">
                  <v:imagedata r:id="rId9"/>
                </v:shape>
                <v:shape id="Picture 15" style="position:absolute;width:9036;height:8915;left:50025;top:0;" filled="f">
                  <v:imagedata r:id="rId10"/>
                </v:shape>
              </v:group>
            </w:pict>
          </mc:Fallback>
        </mc:AlternateContent>
      </w:r>
      <w:r>
        <w:rPr>
          <w:color w:val="000000"/>
        </w:rPr>
        <w:t xml:space="preserve"> </w:t>
      </w:r>
    </w:p>
    <w:p w14:paraId="4AED5912" w14:textId="77777777" w:rsidR="00751FCD" w:rsidRDefault="00145B54">
      <w:pPr>
        <w:spacing w:after="254" w:line="259" w:lineRule="auto"/>
        <w:ind w:left="0" w:firstLine="0"/>
      </w:pPr>
      <w:r>
        <w:rPr>
          <w:b/>
          <w:color w:val="000000"/>
        </w:rPr>
        <w:t xml:space="preserve"> </w:t>
      </w:r>
    </w:p>
    <w:p w14:paraId="0E7EE14E" w14:textId="77777777" w:rsidR="00751FCD" w:rsidRDefault="00145B54">
      <w:pPr>
        <w:spacing w:after="326" w:line="259" w:lineRule="auto"/>
        <w:ind w:left="0" w:firstLine="0"/>
      </w:pPr>
      <w:r>
        <w:rPr>
          <w:b/>
          <w:color w:val="1F497D"/>
          <w:sz w:val="32"/>
        </w:rPr>
        <w:t xml:space="preserve"> </w:t>
      </w:r>
    </w:p>
    <w:p w14:paraId="3496380A" w14:textId="77777777" w:rsidR="00751FCD" w:rsidRDefault="00145B54">
      <w:pPr>
        <w:spacing w:after="165" w:line="259" w:lineRule="auto"/>
        <w:ind w:left="0" w:right="1" w:firstLine="0"/>
        <w:jc w:val="center"/>
      </w:pPr>
      <w:r>
        <w:rPr>
          <w:b/>
          <w:sz w:val="32"/>
        </w:rPr>
        <w:t xml:space="preserve">POLICA OSIGURANJA PRAVNE ZAŠTITE ZA ČLANOVE HKSR U 2020. - </w:t>
      </w:r>
    </w:p>
    <w:p w14:paraId="01F0B526" w14:textId="77777777" w:rsidR="00751FCD" w:rsidRDefault="00145B54">
      <w:pPr>
        <w:spacing w:after="230" w:line="259" w:lineRule="auto"/>
        <w:ind w:left="0" w:right="8" w:firstLine="0"/>
        <w:jc w:val="center"/>
      </w:pPr>
      <w:r>
        <w:rPr>
          <w:b/>
          <w:sz w:val="32"/>
        </w:rPr>
        <w:t xml:space="preserve">specifikacija </w:t>
      </w:r>
    </w:p>
    <w:p w14:paraId="0A621A4C" w14:textId="77777777" w:rsidR="00751FCD" w:rsidRDefault="00145B54">
      <w:pPr>
        <w:spacing w:after="160" w:line="258" w:lineRule="auto"/>
        <w:ind w:left="-5"/>
      </w:pPr>
      <w:r>
        <w:rPr>
          <w:b/>
        </w:rPr>
        <w:t>Ugovaratelj osiguranja:</w:t>
      </w:r>
      <w:r>
        <w:t xml:space="preserve"> Hrvatska komora socijalnih radnika </w:t>
      </w:r>
    </w:p>
    <w:p w14:paraId="70977E85" w14:textId="77777777" w:rsidR="00751FCD" w:rsidRDefault="00145B54">
      <w:pPr>
        <w:spacing w:after="160" w:line="258" w:lineRule="auto"/>
        <w:ind w:left="-5"/>
      </w:pPr>
      <w:r>
        <w:rPr>
          <w:b/>
        </w:rPr>
        <w:t>Početak osiguranja:</w:t>
      </w:r>
      <w:r>
        <w:t xml:space="preserve"> 01.03.209 (00:00 sati) </w:t>
      </w:r>
    </w:p>
    <w:p w14:paraId="7EDDABE4" w14:textId="77777777" w:rsidR="00751FCD" w:rsidRDefault="00145B54">
      <w:pPr>
        <w:spacing w:after="160" w:line="258" w:lineRule="auto"/>
        <w:ind w:left="-5"/>
      </w:pPr>
      <w:r>
        <w:rPr>
          <w:b/>
        </w:rPr>
        <w:t>Istek osiguranja:</w:t>
      </w:r>
      <w:r>
        <w:t xml:space="preserve"> 28.02.2020 (24:00 sati) </w:t>
      </w:r>
    </w:p>
    <w:p w14:paraId="19183700" w14:textId="77777777" w:rsidR="00751FCD" w:rsidRDefault="00145B54">
      <w:pPr>
        <w:ind w:left="-5"/>
      </w:pPr>
      <w:r>
        <w:rPr>
          <w:b/>
        </w:rPr>
        <w:t>Osigurano je:</w:t>
      </w:r>
      <w:r>
        <w:t xml:space="preserve"> </w:t>
      </w:r>
      <w:r>
        <w:t>Osigurani su članovi Hrvatske komore socijalnih radnika upisani u registar komore</w:t>
      </w:r>
      <w:r>
        <w:t xml:space="preserve">, koji posjeduju valjanju licencu za rad </w:t>
      </w:r>
      <w:r>
        <w:t>i uredno ispunjavaju svoje članske obaveze</w:t>
      </w:r>
      <w:r>
        <w:t xml:space="preserve">. </w:t>
      </w:r>
    </w:p>
    <w:p w14:paraId="5102C780" w14:textId="77777777" w:rsidR="00751FCD" w:rsidRDefault="00145B54">
      <w:pPr>
        <w:spacing w:after="204" w:line="259" w:lineRule="auto"/>
        <w:ind w:left="0" w:firstLine="0"/>
      </w:pPr>
      <w:r>
        <w:rPr>
          <w:b/>
        </w:rPr>
        <w:t xml:space="preserve">Opseg osiguranja: </w:t>
      </w:r>
    </w:p>
    <w:p w14:paraId="72AC64CB" w14:textId="77777777" w:rsidR="00751FCD" w:rsidRDefault="00145B54">
      <w:pPr>
        <w:numPr>
          <w:ilvl w:val="0"/>
          <w:numId w:val="1"/>
        </w:numPr>
        <w:spacing w:after="51"/>
        <w:ind w:right="59" w:hanging="360"/>
      </w:pPr>
      <w:r>
        <w:t xml:space="preserve">Pravna zaštita savjetovanja </w:t>
      </w:r>
      <w:r>
        <w:t>- jedan usmeni pravni savjet g</w:t>
      </w:r>
      <w:r>
        <w:t>odišnje za s</w:t>
      </w:r>
      <w:r>
        <w:t>vakog člana HKSR</w:t>
      </w:r>
      <w:r>
        <w:t xml:space="preserve"> </w:t>
      </w:r>
      <w:r>
        <w:t xml:space="preserve">(važi u </w:t>
      </w:r>
      <w:r>
        <w:t xml:space="preserve">Republici Hrvatskoj.) </w:t>
      </w:r>
    </w:p>
    <w:p w14:paraId="5AA3C425" w14:textId="77777777" w:rsidR="00751FCD" w:rsidRDefault="00145B54">
      <w:pPr>
        <w:numPr>
          <w:ilvl w:val="0"/>
          <w:numId w:val="1"/>
        </w:numPr>
        <w:spacing w:after="36"/>
        <w:ind w:right="59" w:hanging="360"/>
      </w:pPr>
      <w:r>
        <w:t>Opća odštetno i kazneno pravna zaštita za članove HKSR</w:t>
      </w:r>
      <w:r>
        <w:t xml:space="preserve"> </w:t>
      </w:r>
      <w:r>
        <w:t>na profesionalnom području</w:t>
      </w: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Opća odštetno pravna zaštita na profesionalnom području važi u Europi u geografskom </w:t>
      </w:r>
      <w:r>
        <w:t xml:space="preserve">smislu </w:t>
      </w:r>
      <w:r>
        <w:t xml:space="preserve">u slučaju kad su socijalni radnici oštećeni na način da su im nanesene tjelesne ozlijede ili im je oštećena ili uništena osobna imovina tijekom obavljanja posla ili </w:t>
      </w:r>
      <w:r>
        <w:t xml:space="preserve">vezano uz </w:t>
      </w:r>
      <w:r>
        <w:t xml:space="preserve">posao. </w:t>
      </w:r>
    </w:p>
    <w:p w14:paraId="57A897C8" w14:textId="77777777" w:rsidR="00751FCD" w:rsidRDefault="00145B54">
      <w:pPr>
        <w:numPr>
          <w:ilvl w:val="1"/>
          <w:numId w:val="1"/>
        </w:numPr>
        <w:spacing w:after="38"/>
        <w:ind w:hanging="360"/>
      </w:pPr>
      <w:r>
        <w:t xml:space="preserve">Klauzula HRK075 </w:t>
      </w:r>
      <w:r>
        <w:t>–</w:t>
      </w:r>
      <w:r>
        <w:t xml:space="preserve"> </w:t>
      </w:r>
      <w:r>
        <w:t xml:space="preserve">Odštetni zahtjevi zbog povrede časti i dobrog imena </w:t>
      </w:r>
      <w:proofErr w:type="spellStart"/>
      <w:r>
        <w:t>Osi</w:t>
      </w:r>
      <w:r>
        <w:t>gurateljna</w:t>
      </w:r>
      <w:proofErr w:type="spellEnd"/>
      <w:r>
        <w:t xml:space="preserve"> </w:t>
      </w:r>
      <w:r>
        <w:t>zaštita se proširuje na pokriće troškova ostvarivanja odštetnih zahtjeva u okviru opće odštetno pravne zaštite zbog povrede časti i dobrog imena do visine</w:t>
      </w:r>
      <w:r>
        <w:t xml:space="preserve"> najviše 5% osigurane svote odnosno do maksimalnog iznosa 5.000 € za svaki štetni događaj i</w:t>
      </w:r>
      <w:r>
        <w:t xml:space="preserve"> </w:t>
      </w:r>
      <w:r>
        <w:t>važi u Republici Hrvatskoj (ako je za postupak nadležan sud u Republici Hrvatskoj), kod pravnog zastupnika odabranog od strane osiguratelja. Za svako pokriće po kla</w:t>
      </w:r>
      <w:r>
        <w:t xml:space="preserve">uzuli 075 potrebno je odobrenje </w:t>
      </w:r>
      <w:r>
        <w:t xml:space="preserve">od HKSR.   </w:t>
      </w:r>
    </w:p>
    <w:p w14:paraId="79D3B369" w14:textId="77777777" w:rsidR="00751FCD" w:rsidRDefault="00145B54">
      <w:pPr>
        <w:numPr>
          <w:ilvl w:val="1"/>
          <w:numId w:val="1"/>
        </w:numPr>
        <w:spacing w:after="6"/>
        <w:ind w:hanging="360"/>
      </w:pPr>
      <w:r>
        <w:t xml:space="preserve">Klauzula KHR077 </w:t>
      </w:r>
      <w:r>
        <w:t>–</w:t>
      </w:r>
      <w:r>
        <w:t xml:space="preserve"> </w:t>
      </w:r>
      <w:r>
        <w:t>Osiguranje privatnog tužitelja</w:t>
      </w:r>
      <w:r>
        <w:t xml:space="preserve"> </w:t>
      </w:r>
      <w:r>
        <w:t xml:space="preserve">Kao proširenje pokrića </w:t>
      </w:r>
      <w:proofErr w:type="spellStart"/>
      <w:r>
        <w:t>osigurateljna</w:t>
      </w:r>
      <w:proofErr w:type="spellEnd"/>
      <w:r>
        <w:t xml:space="preserve"> zaštita obuhvaća i zastupanje osiguranika za kaznena djela za koja je u Kaznenom zakonu propisano da se progone prema privatnoj tužbi. </w:t>
      </w:r>
      <w:proofErr w:type="spellStart"/>
      <w:r>
        <w:t>Osigurateljna</w:t>
      </w:r>
      <w:proofErr w:type="spellEnd"/>
      <w:r>
        <w:t xml:space="preserve"> zaštita postoji samo ako je za kazneni postupak nadležan sud u Republ</w:t>
      </w:r>
      <w:r>
        <w:t>i</w:t>
      </w:r>
      <w:r>
        <w:t xml:space="preserve">ci Hrvatskoj.  </w:t>
      </w:r>
    </w:p>
    <w:p w14:paraId="4996C897" w14:textId="77777777" w:rsidR="00751FCD" w:rsidRDefault="00145B54">
      <w:pPr>
        <w:spacing w:after="31" w:line="259" w:lineRule="auto"/>
        <w:ind w:left="1440" w:firstLine="0"/>
      </w:pPr>
      <w:r>
        <w:t xml:space="preserve"> </w:t>
      </w:r>
    </w:p>
    <w:p w14:paraId="389A3607" w14:textId="77777777" w:rsidR="00751FCD" w:rsidRDefault="00145B54">
      <w:pPr>
        <w:numPr>
          <w:ilvl w:val="1"/>
          <w:numId w:val="1"/>
        </w:numPr>
        <w:ind w:hanging="360"/>
      </w:pPr>
      <w:r>
        <w:t xml:space="preserve">Opća kazneno pravna zaštita na profesionalnom području važi u Europi u geografskom </w:t>
      </w:r>
      <w:r>
        <w:t xml:space="preserve">smislu </w:t>
      </w:r>
    </w:p>
    <w:p w14:paraId="0F1776F9" w14:textId="77777777" w:rsidR="00751FCD" w:rsidRDefault="00145B54">
      <w:pPr>
        <w:spacing w:after="160" w:line="259" w:lineRule="auto"/>
        <w:ind w:left="0" w:firstLine="0"/>
      </w:pPr>
      <w:r>
        <w:rPr>
          <w:b/>
        </w:rPr>
        <w:t xml:space="preserve"> </w:t>
      </w:r>
    </w:p>
    <w:p w14:paraId="123BEC6D" w14:textId="77777777" w:rsidR="00751FCD" w:rsidRDefault="00145B54">
      <w:pPr>
        <w:spacing w:after="254" w:line="259" w:lineRule="auto"/>
        <w:ind w:left="0" w:firstLine="0"/>
      </w:pPr>
      <w:r>
        <w:rPr>
          <w:b/>
        </w:rPr>
        <w:t xml:space="preserve"> </w:t>
      </w:r>
    </w:p>
    <w:p w14:paraId="1FE9CD65" w14:textId="77777777" w:rsidR="00751FCD" w:rsidRDefault="00145B54">
      <w:pPr>
        <w:spacing w:after="0" w:line="259" w:lineRule="auto"/>
        <w:ind w:left="0" w:right="218" w:firstLine="0"/>
        <w:jc w:val="right"/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2FB2A3A6" wp14:editId="733CDCFC">
                <wp:extent cx="5951220" cy="960755"/>
                <wp:effectExtent l="0" t="0" r="0" b="0"/>
                <wp:docPr id="1372" name="Group 1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220" cy="960755"/>
                          <a:chOff x="0" y="0"/>
                          <a:chExt cx="5951220" cy="96075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1220" cy="9607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625090" y="1"/>
                            <a:ext cx="852170" cy="8521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02530" y="1"/>
                            <a:ext cx="836295" cy="834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2" style="width:468.6pt;height:75.65pt;mso-position-horizontal-relative:char;mso-position-vertical-relative:line" coordsize="59512,9607">
                <v:shape id="Picture 11" style="position:absolute;width:59512;height:9607;left:0;top:0;" filled="f">
                  <v:imagedata r:id="rId8"/>
                </v:shape>
                <v:shape id="Picture 17" style="position:absolute;width:8521;height:8521;left:26250;top:0;" filled="f">
                  <v:imagedata r:id="rId9"/>
                </v:shape>
                <v:shape id="Picture 19" style="position:absolute;width:8362;height:8343;left:50025;top:0;" filled="f">
                  <v:imagedata r:id="rId10"/>
                </v:shape>
              </v:group>
            </w:pict>
          </mc:Fallback>
        </mc:AlternateContent>
      </w:r>
      <w:r>
        <w:rPr>
          <w:color w:val="000000"/>
        </w:rPr>
        <w:t xml:space="preserve"> </w:t>
      </w:r>
    </w:p>
    <w:p w14:paraId="67794D38" w14:textId="77777777" w:rsidR="00751FCD" w:rsidRDefault="00145B54">
      <w:pPr>
        <w:spacing w:after="0" w:line="259" w:lineRule="auto"/>
        <w:ind w:left="0" w:right="110" w:firstLine="0"/>
        <w:jc w:val="right"/>
      </w:pPr>
      <w:r>
        <w:rPr>
          <w:noProof/>
          <w:color w:val="000000"/>
        </w:rPr>
        <w:lastRenderedPageBreak/>
        <mc:AlternateContent>
          <mc:Choice Requires="wpg">
            <w:drawing>
              <wp:inline distT="0" distB="0" distL="0" distR="0" wp14:anchorId="00F6ACE8" wp14:editId="1253EF6A">
                <wp:extent cx="6018530" cy="1004571"/>
                <wp:effectExtent l="0" t="0" r="0" b="0"/>
                <wp:docPr id="1428" name="Group 1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530" cy="1004571"/>
                          <a:chOff x="0" y="0"/>
                          <a:chExt cx="6018530" cy="1004571"/>
                        </a:xfrm>
                      </wpg:grpSpPr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35"/>
                            <a:ext cx="6018530" cy="1003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570480" y="7620"/>
                            <a:ext cx="922020" cy="9220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02530" y="0"/>
                            <a:ext cx="903605" cy="891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28" style="width:473.9pt;height:79.1001pt;mso-position-horizontal-relative:char;mso-position-vertical-relative:line" coordsize="60185,10045">
                <v:shape id="Picture 145" style="position:absolute;width:60185;height:10039;left:0;top:6;" filled="f">
                  <v:imagedata r:id="rId8"/>
                </v:shape>
                <v:shape id="Picture 149" style="position:absolute;width:9220;height:9220;left:25704;top:76;" filled="f">
                  <v:imagedata r:id="rId9"/>
                </v:shape>
                <v:shape id="Picture 151" style="position:absolute;width:9036;height:8915;left:50025;top:0;" filled="f">
                  <v:imagedata r:id="rId10"/>
                </v:shape>
              </v:group>
            </w:pict>
          </mc:Fallback>
        </mc:AlternateContent>
      </w:r>
      <w:r>
        <w:rPr>
          <w:color w:val="000000"/>
        </w:rPr>
        <w:t xml:space="preserve"> </w:t>
      </w:r>
    </w:p>
    <w:p w14:paraId="339439A8" w14:textId="77777777" w:rsidR="00751FCD" w:rsidRDefault="00145B54">
      <w:pPr>
        <w:spacing w:after="158" w:line="259" w:lineRule="auto"/>
        <w:ind w:left="0" w:firstLine="0"/>
      </w:pPr>
      <w:r>
        <w:rPr>
          <w:b/>
        </w:rPr>
        <w:t xml:space="preserve"> </w:t>
      </w:r>
    </w:p>
    <w:p w14:paraId="5874B37A" w14:textId="77777777" w:rsidR="00751FCD" w:rsidRDefault="00145B54">
      <w:pPr>
        <w:spacing w:after="160" w:line="258" w:lineRule="auto"/>
        <w:ind w:left="-5"/>
      </w:pPr>
      <w:r>
        <w:rPr>
          <w:b/>
        </w:rPr>
        <w:t>Klauzula HRK071</w:t>
      </w:r>
      <w:r>
        <w:t xml:space="preserve"> </w:t>
      </w:r>
      <w:r>
        <w:t>–</w:t>
      </w:r>
      <w:r>
        <w:t xml:space="preserve"> Obrana u disciplinskom postupku </w:t>
      </w:r>
    </w:p>
    <w:p w14:paraId="10163A2C" w14:textId="77777777" w:rsidR="00751FCD" w:rsidRDefault="00145B54">
      <w:pPr>
        <w:spacing w:after="160" w:line="258" w:lineRule="auto"/>
        <w:ind w:left="-5"/>
      </w:pPr>
      <w:r>
        <w:t xml:space="preserve">Uključeno je i pokriće troškova u disciplinskim postupcima pokrenutim protiv </w:t>
      </w:r>
      <w:r>
        <w:t xml:space="preserve">Osiguranika u svezi s radnjama i propustima nastalim u obavljanju djelatnosti kao profesionalne djelatnosti, pred tijelima </w:t>
      </w:r>
      <w:r>
        <w:t>Komore i pred poslodavcem pod uvjetima iz članka 19. OUP</w:t>
      </w:r>
      <w:r>
        <w:t>Z SK 18</w:t>
      </w:r>
      <w:r>
        <w:t xml:space="preserve">/1 i klauzule K072. </w:t>
      </w:r>
    </w:p>
    <w:p w14:paraId="3FC25E36" w14:textId="77777777" w:rsidR="00751FCD" w:rsidRDefault="00145B54">
      <w:pPr>
        <w:spacing w:after="158" w:line="259" w:lineRule="auto"/>
        <w:ind w:left="0" w:firstLine="0"/>
      </w:pPr>
      <w:r>
        <w:t xml:space="preserve"> </w:t>
      </w:r>
    </w:p>
    <w:p w14:paraId="1EA50840" w14:textId="77777777" w:rsidR="00751FCD" w:rsidRDefault="00145B54">
      <w:pPr>
        <w:ind w:left="-5"/>
      </w:pPr>
      <w:r>
        <w:rPr>
          <w:b/>
        </w:rPr>
        <w:t>Klauzula HRK072</w:t>
      </w:r>
      <w:r>
        <w:t xml:space="preserve"> </w:t>
      </w:r>
      <w:r>
        <w:t>–</w:t>
      </w:r>
      <w:r>
        <w:t xml:space="preserve"> </w:t>
      </w:r>
      <w:r>
        <w:t>Proširenje pokrića pravne zaštite kod kaznenih djela i prekršaja</w:t>
      </w:r>
      <w:r>
        <w:t xml:space="preserve"> </w:t>
      </w:r>
    </w:p>
    <w:p w14:paraId="3C3A2F6E" w14:textId="77777777" w:rsidR="00751FCD" w:rsidRDefault="00145B54">
      <w:pPr>
        <w:spacing w:after="159" w:line="258" w:lineRule="auto"/>
        <w:ind w:left="0" w:firstLine="0"/>
      </w:pPr>
      <w:proofErr w:type="spellStart"/>
      <w:r>
        <w:rPr>
          <w:i/>
        </w:rPr>
        <w:t>Osigurateljna</w:t>
      </w:r>
      <w:proofErr w:type="spellEnd"/>
      <w:r>
        <w:rPr>
          <w:i/>
        </w:rPr>
        <w:t xml:space="preserve"> zaštita obuhvaća troškove i izdatke obrane u kaznenim i prekršajnim postupcima, bez obzira na fazu postupka, koji nastanu u obav</w:t>
      </w:r>
      <w:r>
        <w:rPr>
          <w:i/>
        </w:rPr>
        <w:t xml:space="preserve">ljanju djelatnosti kao profesionalne djelatnosti, koja je navedena na polici i važi u Europi (u geografskom smislu), pod uvjetom, da se radi o postupcima za: </w:t>
      </w:r>
    </w:p>
    <w:p w14:paraId="1F3A60EF" w14:textId="77777777" w:rsidR="00751FCD" w:rsidRDefault="00145B54">
      <w:pPr>
        <w:numPr>
          <w:ilvl w:val="0"/>
          <w:numId w:val="2"/>
        </w:numPr>
        <w:ind w:hanging="268"/>
      </w:pPr>
      <w:r>
        <w:t>kazneno djelo koje se može počiniti s svjesnim ili nesvjesnim nehajem;</w:t>
      </w:r>
      <w:r>
        <w:t xml:space="preserve"> </w:t>
      </w:r>
    </w:p>
    <w:p w14:paraId="1DA57FBA" w14:textId="77777777" w:rsidR="00751FCD" w:rsidRDefault="00145B54">
      <w:pPr>
        <w:numPr>
          <w:ilvl w:val="0"/>
          <w:numId w:val="2"/>
        </w:numPr>
        <w:ind w:hanging="268"/>
      </w:pPr>
      <w:r>
        <w:t>kazneno djelo koje se mož</w:t>
      </w:r>
      <w:r>
        <w:t>e počiniti s izravnom ili neizravnom namjerom, čak i ako kazneni progon pos</w:t>
      </w:r>
      <w:r>
        <w:t xml:space="preserve">toji </w:t>
      </w:r>
      <w:r>
        <w:t xml:space="preserve">za to djelo ako je počinjeno iz nehaja i ako je za to djelo (u slučaju namjere) zapriječena kazna zatvora do </w:t>
      </w:r>
      <w:r>
        <w:t xml:space="preserve">maksimalno 15 (petnaest) godina; </w:t>
      </w:r>
    </w:p>
    <w:p w14:paraId="7121C04F" w14:textId="77777777" w:rsidR="00751FCD" w:rsidRDefault="00145B54">
      <w:pPr>
        <w:numPr>
          <w:ilvl w:val="0"/>
          <w:numId w:val="2"/>
        </w:numPr>
        <w:ind w:hanging="268"/>
      </w:pPr>
      <w:r>
        <w:t>prekršaj nastao u svezi s radnjam</w:t>
      </w:r>
      <w:r>
        <w:t>a i propustima u obavljanju profesionalne djelatnosti;</w:t>
      </w:r>
      <w:r>
        <w:t xml:space="preserve"> </w:t>
      </w:r>
    </w:p>
    <w:p w14:paraId="36DB8A51" w14:textId="77777777" w:rsidR="00751FCD" w:rsidRDefault="00145B54">
      <w:pPr>
        <w:numPr>
          <w:ilvl w:val="0"/>
          <w:numId w:val="2"/>
        </w:numPr>
        <w:ind w:hanging="268"/>
      </w:pPr>
      <w:r>
        <w:t>prekršaj koji se može počiniti izravnom ili neizravnom namjerom;</w:t>
      </w:r>
      <w:r>
        <w:t xml:space="preserve"> </w:t>
      </w:r>
    </w:p>
    <w:p w14:paraId="1F560365" w14:textId="77777777" w:rsidR="00751FCD" w:rsidRDefault="00145B54">
      <w:pPr>
        <w:numPr>
          <w:ilvl w:val="0"/>
          <w:numId w:val="2"/>
        </w:numPr>
        <w:ind w:hanging="268"/>
      </w:pPr>
      <w:r>
        <w:t>u slučaju pravomoćne osuđujuće presude zbog kaznenog djela ili prekršaja počinjenog s izravnom namjerom, zaštita se retrogradno ukida.</w:t>
      </w:r>
      <w:r>
        <w:t xml:space="preserve"> U tom slučaju Osiguranik se obvezuje osiguratelju izvršiti povrat </w:t>
      </w:r>
      <w:r>
        <w:t>sv</w:t>
      </w:r>
      <w:r>
        <w:t>ih davanja koja je osiguratelj izvršio po osnovi ugovora o osiguranju.</w:t>
      </w:r>
      <w:r>
        <w:t xml:space="preserve"> </w:t>
      </w:r>
    </w:p>
    <w:p w14:paraId="41CCF57C" w14:textId="77777777" w:rsidR="00751FCD" w:rsidRDefault="00145B54">
      <w:pPr>
        <w:spacing w:after="136" w:line="259" w:lineRule="auto"/>
        <w:ind w:left="0" w:firstLine="0"/>
      </w:pPr>
      <w:r>
        <w:t xml:space="preserve"> </w:t>
      </w:r>
    </w:p>
    <w:p w14:paraId="6EF26DEF" w14:textId="77777777" w:rsidR="00751FCD" w:rsidRDefault="00145B54">
      <w:pPr>
        <w:spacing w:after="139" w:line="259" w:lineRule="auto"/>
        <w:ind w:left="0" w:firstLine="0"/>
      </w:pPr>
      <w:r>
        <w:rPr>
          <w:b/>
        </w:rPr>
        <w:t>Klauzula HRK074 – Osigurani slučaj:</w:t>
      </w:r>
      <w:r>
        <w:t xml:space="preserve">  </w:t>
      </w:r>
    </w:p>
    <w:p w14:paraId="65706C7F" w14:textId="77777777" w:rsidR="00751FCD" w:rsidRDefault="00145B54">
      <w:pPr>
        <w:ind w:left="-5"/>
      </w:pPr>
      <w:r>
        <w:t>U osnovu je osigurani slučaj budući događaj, neizvjestan i nezavisan od isk</w:t>
      </w:r>
      <w:r>
        <w:t xml:space="preserve">ljučive volje Ugovaratelja </w:t>
      </w:r>
      <w:r>
        <w:t>osiguranja ili Osiguranika. Ugovor o osiguran</w:t>
      </w:r>
      <w:r>
        <w:t>ju je ništetan ako je u trenutku njegova sklapanja već nastao osigurani slučaj ili nastupio osigurani rizik, ili je osigurani slučaj bio u nastupanju, ili je bilo izvjesno da će nastup</w:t>
      </w:r>
      <w:r>
        <w:t xml:space="preserve">iti, ili je već tada bila prestala mogućnost da on nastane. Osigurani slučaj koji je nastao za vrijeme trajanja osiguranja, a čiji je uzrok iz vremena koje prethodi sklapanju ugovora o osiguranju ili iz vremena </w:t>
      </w:r>
      <w:r>
        <w:t>kada je osiguranje bilo prekinuto, nije pokri</w:t>
      </w:r>
      <w:r>
        <w:t xml:space="preserve">ven osiguranjem </w:t>
      </w:r>
      <w:r>
        <w:rPr>
          <w:b/>
          <w:i/>
        </w:rPr>
        <w:t>osim u slučaju da Osiguraniku optužni prijedlog ili zahtjev za provođenje disciplinskog postupka odnosno postupka pred poslodavcem kao i pred nadležnom Komorom (HKSR), odnosno rješenje o potvrdi optužnice u kaznenom postupku, bude dostavlje</w:t>
      </w:r>
      <w:r>
        <w:rPr>
          <w:b/>
          <w:i/>
        </w:rPr>
        <w:t xml:space="preserve">no za vrijeme trajanja ugovora o osiguranju. Ova klauzula se ne primjenjuje ako je štetni događaj nastao za vrijeme valjanosti druge police osiguranja pravne zaštite. </w:t>
      </w:r>
    </w:p>
    <w:p w14:paraId="24FF3BF3" w14:textId="77777777" w:rsidR="00751FCD" w:rsidRDefault="00145B54">
      <w:pPr>
        <w:spacing w:after="232" w:line="259" w:lineRule="auto"/>
        <w:ind w:left="0" w:firstLine="0"/>
      </w:pPr>
      <w:r>
        <w:rPr>
          <w:b/>
          <w:i/>
        </w:rPr>
        <w:t xml:space="preserve"> </w:t>
      </w:r>
    </w:p>
    <w:p w14:paraId="6EAB9DC2" w14:textId="77777777" w:rsidR="00751FCD" w:rsidRDefault="00145B54">
      <w:pPr>
        <w:spacing w:after="66" w:line="259" w:lineRule="auto"/>
        <w:ind w:left="0" w:right="11" w:firstLine="0"/>
        <w:jc w:val="center"/>
      </w:pPr>
      <w:r>
        <w:rPr>
          <w:i/>
          <w:sz w:val="32"/>
        </w:rPr>
        <w:t xml:space="preserve">Osjećaj sigurnosti potiče unutarnji mir i zadovoljstvo svakog čovjeka ! </w:t>
      </w:r>
    </w:p>
    <w:p w14:paraId="48D01C6E" w14:textId="77777777" w:rsidR="00751FCD" w:rsidRDefault="00145B54">
      <w:pPr>
        <w:spacing w:after="192" w:line="259" w:lineRule="auto"/>
        <w:ind w:left="0" w:firstLine="0"/>
        <w:jc w:val="right"/>
      </w:pPr>
      <w:r>
        <w:rPr>
          <w:i/>
        </w:rPr>
        <w:t xml:space="preserve">Vaš </w:t>
      </w:r>
      <w:proofErr w:type="spellStart"/>
      <w:r>
        <w:rPr>
          <w:i/>
        </w:rPr>
        <w:t>Certitudo</w:t>
      </w:r>
      <w:proofErr w:type="spellEnd"/>
      <w:r>
        <w:rPr>
          <w:i/>
        </w:rPr>
        <w:t xml:space="preserve"> tim </w:t>
      </w:r>
    </w:p>
    <w:p w14:paraId="72DF72A9" w14:textId="072DB545" w:rsidR="00751FCD" w:rsidRDefault="00145B54">
      <w:pPr>
        <w:spacing w:after="0" w:line="259" w:lineRule="auto"/>
        <w:ind w:left="0" w:right="218" w:firstLine="0"/>
        <w:jc w:val="right"/>
      </w:pPr>
      <w:r>
        <w:rPr>
          <w:color w:val="000000"/>
        </w:rPr>
        <w:t xml:space="preserve"> </w:t>
      </w:r>
    </w:p>
    <w:sectPr w:rsidR="00751FCD">
      <w:pgSz w:w="11906" w:h="16838"/>
      <w:pgMar w:top="708" w:right="1132" w:bottom="64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997E47"/>
    <w:multiLevelType w:val="hybridMultilevel"/>
    <w:tmpl w:val="7DAEF9A8"/>
    <w:lvl w:ilvl="0" w:tplc="30CC5174">
      <w:start w:val="1"/>
      <w:numFmt w:val="decimal"/>
      <w:lvlText w:val="%1."/>
      <w:lvlJc w:val="left"/>
      <w:pPr>
        <w:ind w:left="268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6E43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1ED1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1E90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BE85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6649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B865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463F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E212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702544"/>
    <w:multiLevelType w:val="hybridMultilevel"/>
    <w:tmpl w:val="9AECC53E"/>
    <w:lvl w:ilvl="0" w:tplc="831EB60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F4288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C6DD3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6ECA5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EEF48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FC9A7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08960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841A3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2AC7A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FCD"/>
    <w:rsid w:val="00145B54"/>
    <w:rsid w:val="0075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80D6"/>
  <w15:docId w15:val="{F7D46ED8-A9AC-497C-95F2-E3722864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8" w:line="250" w:lineRule="auto"/>
      <w:ind w:left="10" w:hanging="10"/>
    </w:pPr>
    <w:rPr>
      <w:rFonts w:ascii="Calibri" w:eastAsia="Calibri" w:hAnsi="Calibri" w:cs="Calibri"/>
      <w:color w:val="0020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cp:lastModifiedBy>Ines Furda - tajnik HKSR</cp:lastModifiedBy>
  <cp:revision>2</cp:revision>
  <dcterms:created xsi:type="dcterms:W3CDTF">2020-08-06T15:27:00Z</dcterms:created>
  <dcterms:modified xsi:type="dcterms:W3CDTF">2020-08-06T15:27:00Z</dcterms:modified>
</cp:coreProperties>
</file>